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DF" w:rsidRDefault="0038279A" w:rsidP="00CD24CF">
      <w:pPr>
        <w:rPr>
          <w:rFonts w:ascii="Times New Roman" w:hAnsi="Times New Roman"/>
          <w:b/>
          <w:sz w:val="28"/>
          <w:szCs w:val="28"/>
        </w:rPr>
      </w:pPr>
      <w:r>
        <w:rPr>
          <w:rFonts w:ascii="Times New Roman" w:hAnsi="Times New Roman"/>
          <w:b/>
          <w:sz w:val="28"/>
          <w:szCs w:val="28"/>
        </w:rPr>
        <w:t xml:space="preserve">1. </w:t>
      </w:r>
      <w:r w:rsidRPr="0038279A">
        <w:rPr>
          <w:rFonts w:ascii="Times New Roman" w:hAnsi="Times New Roman"/>
          <w:b/>
          <w:sz w:val="28"/>
          <w:szCs w:val="28"/>
        </w:rPr>
        <w:t>SENATI AKADEMIK</w:t>
      </w:r>
    </w:p>
    <w:p w:rsidR="007957B4" w:rsidRPr="0038279A" w:rsidRDefault="007957B4" w:rsidP="00CD24CF">
      <w:pPr>
        <w:rPr>
          <w:rFonts w:ascii="Times New Roman" w:hAnsi="Times New Roman"/>
          <w:b/>
          <w:sz w:val="28"/>
          <w:szCs w:val="28"/>
        </w:rPr>
      </w:pPr>
    </w:p>
    <w:p w:rsidR="0038279A" w:rsidRPr="003E239D" w:rsidRDefault="0038279A" w:rsidP="0038279A">
      <w:pPr>
        <w:pStyle w:val="CommentText"/>
        <w:numPr>
          <w:ilvl w:val="0"/>
          <w:numId w:val="8"/>
        </w:numPr>
        <w:spacing w:after="80"/>
        <w:ind w:left="425" w:hanging="425"/>
        <w:jc w:val="both"/>
        <w:rPr>
          <w:rFonts w:ascii="Times New Roman" w:hAnsi="Times New Roman" w:cs="Times New Roman"/>
          <w:sz w:val="24"/>
          <w:szCs w:val="24"/>
          <w:lang w:val="it-IT"/>
        </w:rPr>
      </w:pPr>
      <w:r w:rsidRPr="003E239D">
        <w:rPr>
          <w:rFonts w:ascii="Times New Roman" w:hAnsi="Times New Roman" w:cs="Times New Roman"/>
          <w:sz w:val="24"/>
          <w:szCs w:val="24"/>
          <w:lang w:val="it-IT"/>
        </w:rPr>
        <w:t>Senati është organi kolegjial më i lartë akademik i institucionit të arsimit të lartë, përgjegjës për përmbushjen e misionit të tij, në zbatim të pikës 1, të nenit 38, të</w:t>
      </w:r>
      <w:r w:rsidR="0012656D">
        <w:rPr>
          <w:rFonts w:ascii="Times New Roman" w:hAnsi="Times New Roman" w:cs="Times New Roman"/>
          <w:sz w:val="24"/>
          <w:szCs w:val="24"/>
          <w:lang w:val="it-IT"/>
        </w:rPr>
        <w:t xml:space="preserve"> l</w:t>
      </w:r>
      <w:r w:rsidRPr="003E239D">
        <w:rPr>
          <w:rFonts w:ascii="Times New Roman" w:hAnsi="Times New Roman" w:cs="Times New Roman"/>
          <w:sz w:val="24"/>
          <w:szCs w:val="24"/>
          <w:lang w:val="it-IT"/>
        </w:rPr>
        <w:t>igjit 80/2015</w:t>
      </w:r>
      <w:r w:rsidRPr="003E239D">
        <w:rPr>
          <w:rFonts w:ascii="Times New Roman" w:hAnsi="Times New Roman" w:cs="Times New Roman"/>
          <w:sz w:val="24"/>
          <w:szCs w:val="24"/>
          <w:lang w:val="sq-AL"/>
        </w:rPr>
        <w:t>, përgjegjës për përmbushjen e misionit të UPT. Senati akademik i UPT</w:t>
      </w:r>
      <w:r>
        <w:rPr>
          <w:rFonts w:ascii="Times New Roman" w:hAnsi="Times New Roman" w:cs="Times New Roman"/>
          <w:sz w:val="24"/>
          <w:szCs w:val="24"/>
          <w:lang w:val="sq-AL"/>
        </w:rPr>
        <w:t xml:space="preserve"> përbëhet nga 37 anëtarë.</w:t>
      </w:r>
    </w:p>
    <w:p w:rsidR="0038279A" w:rsidRPr="003E239D" w:rsidRDefault="0038279A" w:rsidP="0038279A">
      <w:pPr>
        <w:pStyle w:val="Default"/>
        <w:numPr>
          <w:ilvl w:val="0"/>
          <w:numId w:val="8"/>
        </w:numPr>
        <w:spacing w:after="80"/>
        <w:ind w:left="425"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Funksionet kryesore të SAUPT janë: </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garanton autonominë universitare, lirinë akademike, mundësit</w:t>
      </w:r>
      <w:r w:rsidR="00485FE5">
        <w:rPr>
          <w:rFonts w:ascii="Times New Roman" w:hAnsi="Times New Roman" w:cs="Times New Roman"/>
          <w:color w:val="auto"/>
          <w:lang w:val="sq-AL"/>
        </w:rPr>
        <w:t>ë</w:t>
      </w:r>
      <w:bookmarkStart w:id="0" w:name="_GoBack"/>
      <w:bookmarkEnd w:id="0"/>
      <w:r w:rsidRPr="003E239D">
        <w:rPr>
          <w:rFonts w:ascii="Times New Roman" w:hAnsi="Times New Roman" w:cs="Times New Roman"/>
          <w:color w:val="auto"/>
          <w:lang w:val="sq-AL"/>
        </w:rPr>
        <w:t xml:space="preserve"> e barabarta dhe të drejtat e studentëve;</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propozon planin strategjik të zhvillimit të institucionit;</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harton strukturën e përgjithshme të UPT në bashkëpunim me njësitë bazë dhe kryesore të tij dhe i propozon Bordit të Administrimit numrin e personelit të UPT në të gjitha nivelet;</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miraton paraprakisht planin buxhetor vjetor dhe atë afatmesëm të UPT;</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krijon dhe garanton</w:t>
      </w:r>
      <w:r>
        <w:rPr>
          <w:rFonts w:ascii="Times New Roman" w:hAnsi="Times New Roman" w:cs="Times New Roman"/>
          <w:color w:val="auto"/>
          <w:lang w:val="sq-AL"/>
        </w:rPr>
        <w:t xml:space="preserve"> funksionimin</w:t>
      </w:r>
      <w:r w:rsidRPr="003E239D">
        <w:rPr>
          <w:rFonts w:ascii="Times New Roman" w:hAnsi="Times New Roman" w:cs="Times New Roman"/>
          <w:color w:val="auto"/>
          <w:lang w:val="sq-AL"/>
        </w:rPr>
        <w:t xml:space="preserve"> e komisioneve të përhershëm në rang universiteti,  në përputhje me kornizën ligjore në fuqi;   </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përzgjedh  anëtarët e Komisionit Institucional Zgjedhor;</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akordon titujt “Profesor Emeritus” dhe “Doktor Honoris Causa” sipas procedurave të përcaktuara në rregulloren e UPT;</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miraton programin vjetor të veprimtarive akademike të rëndësishme të UPT; </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miraton rregulloret e UPT dhe akteve e tjera institucionale; </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miraton programet e reja të studimit, të kërkimit shkencor, ndryshimeve si dhe mbylljes së tyre, kur ato janë të mbështetura në projekt-buxhetin vjetor të UPT;</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miraton ndryshimet profilizuese për programe studimi të akredituara deri në masën 20% dhe njofton ministrinë përgjegjëse për arsimin e lartë jo më vonë se gjashtë muaj para fillimit të vitit akademik;</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propozon mbylljen dhe riorganizimin e UPT, si dhe ndarjen ose bashkimin e tij me një institucion tjetër të arsimit të lartë;</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vlerëson, garanton dhe mban përgjegjësi për sigurimin e brendshëm të cilësisë në UPT;</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miraton standardet institucionale të cilësisë;</w:t>
      </w:r>
    </w:p>
    <w:p w:rsidR="0038279A" w:rsidRPr="003E239D"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zgjedh  përfaqësuesit e tij në Bordin e Administrimit të UPT;</w:t>
      </w:r>
    </w:p>
    <w:p w:rsidR="0038279A" w:rsidRPr="00FA3891" w:rsidRDefault="0038279A" w:rsidP="0038279A">
      <w:pPr>
        <w:pStyle w:val="Default"/>
        <w:numPr>
          <w:ilvl w:val="0"/>
          <w:numId w:val="10"/>
        </w:numPr>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miraton formatin të titujve universitarë të lëshuar nga UPT në përputhje me kornizën ligjore në fuqi.</w:t>
      </w:r>
    </w:p>
    <w:p w:rsidR="0038279A" w:rsidRPr="003E239D" w:rsidRDefault="0038279A" w:rsidP="0038279A">
      <w:pPr>
        <w:pStyle w:val="CM27"/>
        <w:numPr>
          <w:ilvl w:val="0"/>
          <w:numId w:val="8"/>
        </w:numPr>
        <w:spacing w:after="80" w:line="240" w:lineRule="auto"/>
        <w:ind w:left="425" w:hanging="425"/>
        <w:jc w:val="both"/>
        <w:rPr>
          <w:rFonts w:ascii="Times New Roman" w:hAnsi="Times New Roman"/>
          <w:lang w:val="sq-AL"/>
        </w:rPr>
      </w:pPr>
      <w:r w:rsidRPr="003E239D">
        <w:rPr>
          <w:rFonts w:ascii="Times New Roman" w:hAnsi="Times New Roman"/>
          <w:lang w:val="sq-AL"/>
        </w:rPr>
        <w:t>Përbërja e Senati</w:t>
      </w:r>
      <w:r>
        <w:rPr>
          <w:rFonts w:ascii="Times New Roman" w:hAnsi="Times New Roman"/>
          <w:lang w:val="sq-AL"/>
        </w:rPr>
        <w:t>t</w:t>
      </w:r>
      <w:r w:rsidRPr="003E239D">
        <w:rPr>
          <w:rFonts w:ascii="Times New Roman" w:hAnsi="Times New Roman"/>
          <w:lang w:val="sq-AL"/>
        </w:rPr>
        <w:t xml:space="preserve"> akademik  të UPT është si më poshtë: </w:t>
      </w:r>
    </w:p>
    <w:p w:rsidR="0038279A" w:rsidRPr="003E239D" w:rsidRDefault="0038279A" w:rsidP="0038279A">
      <w:pPr>
        <w:pStyle w:val="Default"/>
        <w:numPr>
          <w:ilvl w:val="0"/>
          <w:numId w:val="9"/>
        </w:numPr>
        <w:spacing w:after="80"/>
        <w:ind w:left="1560" w:hanging="426"/>
        <w:jc w:val="both"/>
        <w:rPr>
          <w:rFonts w:ascii="Times New Roman" w:hAnsi="Times New Roman" w:cs="Times New Roman"/>
          <w:color w:val="auto"/>
          <w:lang w:val="sq-AL"/>
        </w:rPr>
      </w:pPr>
      <w:r w:rsidRPr="003E239D">
        <w:rPr>
          <w:rFonts w:ascii="Times New Roman" w:hAnsi="Times New Roman" w:cs="Times New Roman"/>
          <w:color w:val="auto"/>
          <w:lang w:val="sq-AL"/>
        </w:rPr>
        <w:t>Rektori, i cili është edhe kryetar i tij;</w:t>
      </w:r>
    </w:p>
    <w:p w:rsidR="0038279A" w:rsidRPr="003E239D" w:rsidRDefault="0038279A" w:rsidP="0038279A">
      <w:pPr>
        <w:pStyle w:val="Default"/>
        <w:numPr>
          <w:ilvl w:val="0"/>
          <w:numId w:val="9"/>
        </w:numPr>
        <w:spacing w:after="80"/>
        <w:ind w:left="1560" w:hanging="426"/>
        <w:jc w:val="both"/>
        <w:rPr>
          <w:rFonts w:ascii="Times New Roman" w:hAnsi="Times New Roman" w:cs="Times New Roman"/>
          <w:color w:val="auto"/>
          <w:lang w:val="sq-AL"/>
        </w:rPr>
      </w:pPr>
      <w:r w:rsidRPr="003E239D">
        <w:rPr>
          <w:rFonts w:ascii="Times New Roman" w:hAnsi="Times New Roman" w:cs="Times New Roman"/>
          <w:color w:val="auto"/>
          <w:lang w:val="sq-AL"/>
        </w:rPr>
        <w:t>4 anëtarë nga çdo njësi kryesore;</w:t>
      </w:r>
    </w:p>
    <w:p w:rsidR="0038279A" w:rsidRPr="003E239D" w:rsidRDefault="0038279A" w:rsidP="0038279A">
      <w:pPr>
        <w:pStyle w:val="Default"/>
        <w:numPr>
          <w:ilvl w:val="0"/>
          <w:numId w:val="9"/>
        </w:numPr>
        <w:spacing w:after="80"/>
        <w:ind w:left="1560" w:hanging="426"/>
        <w:jc w:val="both"/>
        <w:rPr>
          <w:rFonts w:ascii="Times New Roman" w:hAnsi="Times New Roman" w:cs="Times New Roman"/>
          <w:color w:val="auto"/>
          <w:lang w:val="sq-AL"/>
        </w:rPr>
      </w:pPr>
      <w:r w:rsidRPr="003E239D">
        <w:rPr>
          <w:rFonts w:ascii="Times New Roman" w:hAnsi="Times New Roman" w:cs="Times New Roman"/>
          <w:color w:val="auto"/>
          <w:lang w:val="sq-AL"/>
        </w:rPr>
        <w:t>përfaqësues nga studentët e UPT, sipas përcaktimeve në kornizën ligjore në fuqi;</w:t>
      </w:r>
    </w:p>
    <w:p w:rsidR="0038279A" w:rsidRPr="003E239D" w:rsidRDefault="0038279A" w:rsidP="0038279A">
      <w:pPr>
        <w:pStyle w:val="Default"/>
        <w:numPr>
          <w:ilvl w:val="0"/>
          <w:numId w:val="9"/>
        </w:numPr>
        <w:spacing w:after="80"/>
        <w:ind w:left="1560" w:hanging="426"/>
        <w:jc w:val="both"/>
        <w:rPr>
          <w:rFonts w:ascii="Times New Roman" w:hAnsi="Times New Roman" w:cs="Times New Roman"/>
          <w:color w:val="auto"/>
          <w:lang w:val="sq-AL"/>
        </w:rPr>
      </w:pPr>
      <w:r w:rsidRPr="003E239D">
        <w:rPr>
          <w:rFonts w:ascii="Times New Roman" w:hAnsi="Times New Roman" w:cs="Times New Roman"/>
          <w:color w:val="auto"/>
          <w:lang w:val="sq-AL"/>
        </w:rPr>
        <w:t>në rast se gjatë votimit rezultati është i barabartë dhe votimi nuk ka qenë i fshehtë, atëherë vota e Rektorit është vendimtare. Në çdo rast tjetër bëhet rivotim.</w:t>
      </w:r>
    </w:p>
    <w:p w:rsidR="0038279A" w:rsidRPr="003E239D" w:rsidRDefault="0038279A" w:rsidP="0038279A">
      <w:pPr>
        <w:pStyle w:val="Default"/>
        <w:numPr>
          <w:ilvl w:val="0"/>
          <w:numId w:val="8"/>
        </w:numPr>
        <w:spacing w:after="80"/>
        <w:ind w:left="426" w:hanging="426"/>
        <w:jc w:val="both"/>
        <w:rPr>
          <w:rFonts w:ascii="Times New Roman" w:hAnsi="Times New Roman"/>
          <w:color w:val="auto"/>
          <w:lang w:val="sq-AL"/>
        </w:rPr>
      </w:pPr>
      <w:r w:rsidRPr="003E239D">
        <w:rPr>
          <w:rFonts w:ascii="Times New Roman" w:hAnsi="Times New Roman" w:cs="Times New Roman"/>
          <w:color w:val="auto"/>
          <w:lang w:val="sq-AL"/>
        </w:rPr>
        <w:lastRenderedPageBreak/>
        <w:t xml:space="preserve">Senati akademik i UPT </w:t>
      </w:r>
      <w:r w:rsidRPr="003E239D">
        <w:rPr>
          <w:rFonts w:ascii="Times New Roman" w:hAnsi="Times New Roman"/>
          <w:color w:val="auto"/>
          <w:lang w:val="sq-AL"/>
        </w:rPr>
        <w:t xml:space="preserve">mund të ketë në përbërjen e tij edhe anëtarë të jashtëm të tij, që përzgjidhen nga personalitete të shquara të fushave që mbulon UPT. </w:t>
      </w:r>
    </w:p>
    <w:p w:rsidR="0038279A" w:rsidRPr="003E239D" w:rsidRDefault="0038279A" w:rsidP="0038279A">
      <w:pPr>
        <w:pStyle w:val="Default"/>
        <w:numPr>
          <w:ilvl w:val="0"/>
          <w:numId w:val="8"/>
        </w:numPr>
        <w:spacing w:after="80"/>
        <w:ind w:left="426" w:hanging="426"/>
        <w:jc w:val="both"/>
        <w:rPr>
          <w:rFonts w:ascii="Times New Roman" w:hAnsi="Times New Roman" w:cs="Times New Roman"/>
          <w:strike/>
          <w:color w:val="auto"/>
          <w:lang w:val="sq-AL"/>
        </w:rPr>
      </w:pPr>
      <w:r w:rsidRPr="003E239D">
        <w:rPr>
          <w:rFonts w:ascii="Times New Roman" w:hAnsi="Times New Roman" w:cs="Times New Roman"/>
          <w:color w:val="auto"/>
          <w:lang w:val="sq-AL"/>
        </w:rPr>
        <w:t>Anëtarët e SAUPT i përkasin kategorisë “Profesor” ose “Doktor” (“PHD”), të fituar pranë universiteteve të vendeve të huaja, anëtare të OECD-së ose BE-së. Në mungesë të autoriteteve akademike të atyre kategorive mund të zgjidhen edhe ata që kanë gradën shkencore “Doktor” të fituar në Republikën e Shqipërisë, të kategorisë lektor.</w:t>
      </w:r>
    </w:p>
    <w:p w:rsidR="0038279A" w:rsidRPr="003E239D" w:rsidRDefault="0038279A" w:rsidP="0038279A">
      <w:pPr>
        <w:pStyle w:val="Default"/>
        <w:spacing w:after="80"/>
        <w:jc w:val="both"/>
        <w:rPr>
          <w:rFonts w:ascii="Times New Roman" w:hAnsi="Times New Roman" w:cs="Times New Roman"/>
          <w:color w:val="auto"/>
          <w:lang w:val="sq-AL"/>
        </w:rPr>
      </w:pPr>
      <w:r>
        <w:rPr>
          <w:rFonts w:ascii="Times New Roman" w:hAnsi="Times New Roman" w:cs="Times New Roman"/>
          <w:color w:val="auto"/>
          <w:lang w:val="sq-AL"/>
        </w:rPr>
        <w:t xml:space="preserve">6. </w:t>
      </w:r>
      <w:r w:rsidRPr="003E239D">
        <w:rPr>
          <w:rFonts w:ascii="Times New Roman" w:hAnsi="Times New Roman" w:cs="Times New Roman"/>
          <w:color w:val="auto"/>
          <w:lang w:val="sq-AL"/>
        </w:rPr>
        <w:t>SAUPT mblidhet në seanca të zakonshme çdo 2 muaj. Në fillim të çdo viti akademik publikohet programi i tij i punës. Ai mund të mblidhet edhe në seanca të jashtëzakonshme me nismën e Kryetarit të tij ose me kërkesën e të paktën një të tretës (1/3) së anëtarëve të tij. Rendi i ditës propozohet nga Kryetari i SAUPT dhe miratohet nga anëtarët e tij. Në rastet kur senati mblidhet në seancë të jashtëzakonshme me kërkesën e një të tretës së anëtarëve, rendi i ditës propozohet nga ky grup anëtarësh dhe miratohet nga anëtarët e senatit. Vendimet e SAUPT janë të vlefshme vetëm kur në votim kanë marrë pjesë më shumë se gjysma e anëtarëve të tij. Vendimet merren me shumicën e anëtarëve të pranishëm, me përjashtim të rasteve kur me ligj kërkohet shumicë e cilësuar. Rregullat mbi procedurën e votimit dhe çështje të tjera që lidhen me të, përcaktohen në rregulloren e UPT.</w:t>
      </w:r>
    </w:p>
    <w:p w:rsidR="0038279A" w:rsidRDefault="0038279A" w:rsidP="00CD24CF"/>
    <w:p w:rsidR="00EC2486" w:rsidRPr="0038279A" w:rsidRDefault="0038279A" w:rsidP="00CD24CF">
      <w:pPr>
        <w:rPr>
          <w:rFonts w:ascii="Times New Roman" w:hAnsi="Times New Roman"/>
          <w:b/>
          <w:sz w:val="28"/>
          <w:szCs w:val="28"/>
        </w:rPr>
      </w:pPr>
      <w:r w:rsidRPr="0038279A">
        <w:rPr>
          <w:rFonts w:ascii="Times New Roman" w:hAnsi="Times New Roman"/>
          <w:b/>
          <w:sz w:val="28"/>
          <w:szCs w:val="28"/>
        </w:rPr>
        <w:t xml:space="preserve">2. </w:t>
      </w:r>
      <w:r>
        <w:rPr>
          <w:rFonts w:ascii="Times New Roman" w:hAnsi="Times New Roman"/>
          <w:b/>
          <w:sz w:val="28"/>
          <w:szCs w:val="28"/>
        </w:rPr>
        <w:t>BORDI I A</w:t>
      </w:r>
      <w:r w:rsidR="00EC2486" w:rsidRPr="0038279A">
        <w:rPr>
          <w:rFonts w:ascii="Times New Roman" w:hAnsi="Times New Roman"/>
          <w:b/>
          <w:sz w:val="28"/>
          <w:szCs w:val="28"/>
        </w:rPr>
        <w:t>DMINISTRIMIT</w:t>
      </w:r>
    </w:p>
    <w:p w:rsidR="001E55BC" w:rsidRPr="003E239D" w:rsidRDefault="001E55BC" w:rsidP="001E55BC">
      <w:pPr>
        <w:spacing w:after="80" w:line="240" w:lineRule="auto"/>
        <w:jc w:val="both"/>
        <w:rPr>
          <w:rFonts w:ascii="Times New Roman" w:hAnsi="Times New Roman"/>
          <w:b/>
          <w:bCs/>
          <w:sz w:val="24"/>
          <w:szCs w:val="24"/>
        </w:rPr>
      </w:pPr>
      <w:r w:rsidRPr="003E239D">
        <w:rPr>
          <w:rFonts w:ascii="Times New Roman" w:hAnsi="Times New Roman"/>
          <w:sz w:val="24"/>
          <w:szCs w:val="24"/>
        </w:rPr>
        <w:t>BAUPT përbëhet nga shtatë anëtarë, të punësuar me kohë të pjesshme. Numri i anëtarëve të BAUPT, që përfaqësojnë UPT përkundrejt numrit të anëtarëve të tij, që përfaqësojnë ministrinë përgjegjëse për arsimin e lartë, qeverisjen vendore si edhe donatorë të tjerë të mundshëm, varet nga përqindja e kontributit financiar në buxhetin e UPT sipas përcaktimeve të kornizës ligjore në fuqi.</w:t>
      </w:r>
    </w:p>
    <w:p w:rsidR="001E55BC" w:rsidRPr="003E239D" w:rsidRDefault="001E55BC" w:rsidP="001E55BC">
      <w:pPr>
        <w:spacing w:after="80" w:line="240" w:lineRule="auto"/>
        <w:jc w:val="both"/>
        <w:rPr>
          <w:rFonts w:ascii="Times New Roman" w:hAnsi="Times New Roman"/>
          <w:sz w:val="24"/>
          <w:szCs w:val="24"/>
        </w:rPr>
      </w:pPr>
    </w:p>
    <w:p w:rsidR="001E55BC" w:rsidRPr="003E239D" w:rsidRDefault="001E55BC" w:rsidP="001E55BC">
      <w:pPr>
        <w:spacing w:after="80" w:line="240" w:lineRule="auto"/>
        <w:jc w:val="both"/>
        <w:rPr>
          <w:rFonts w:ascii="Times New Roman" w:hAnsi="Times New Roman"/>
          <w:b/>
          <w:bCs/>
          <w:sz w:val="24"/>
          <w:szCs w:val="24"/>
        </w:rPr>
      </w:pPr>
      <w:r w:rsidRPr="003E239D">
        <w:rPr>
          <w:rFonts w:ascii="Times New Roman" w:hAnsi="Times New Roman"/>
          <w:sz w:val="24"/>
          <w:szCs w:val="24"/>
        </w:rPr>
        <w:t>Niveli i kontributit financiar në buxhetin e UPT nga ana e ministrisë, qeverisjes vendore, donatorëve të tjerë të mundshëm dhe vetë UPT bazohet në planin buxhetor afatmesëm të tij, me marrëveshje midis palëve të sipërpërmendura. Ky plan përditësohet çdo vit dhe në fund të vitit të tretë financiar, bëhet rivlerësimi i financimit dhe përcaktimi i pjesëmarrjes së kontribuesve në Bordin e Administrimit.</w:t>
      </w:r>
    </w:p>
    <w:p w:rsidR="001E55BC" w:rsidRPr="003E239D" w:rsidRDefault="001E55BC" w:rsidP="001E55BC">
      <w:pPr>
        <w:spacing w:after="80" w:line="240" w:lineRule="auto"/>
        <w:jc w:val="both"/>
        <w:rPr>
          <w:rFonts w:ascii="Times New Roman" w:hAnsi="Times New Roman"/>
          <w:b/>
          <w:bCs/>
          <w:sz w:val="24"/>
          <w:szCs w:val="24"/>
        </w:rPr>
      </w:pPr>
      <w:r w:rsidRPr="003E239D">
        <w:rPr>
          <w:rFonts w:ascii="Times New Roman" w:hAnsi="Times New Roman"/>
          <w:sz w:val="24"/>
          <w:szCs w:val="24"/>
        </w:rPr>
        <w:t xml:space="preserve">Shkarkimi i anëtarëve të BAUPT, përfaqësues të UPT, bëhet nga ministri përgjegjës për arsimin e lartë me propozimin e SAUPT. </w:t>
      </w:r>
    </w:p>
    <w:p w:rsidR="001E55BC" w:rsidRPr="007D711C" w:rsidRDefault="001E55BC" w:rsidP="001E55BC">
      <w:pPr>
        <w:pStyle w:val="Default"/>
        <w:spacing w:after="80"/>
        <w:jc w:val="both"/>
        <w:rPr>
          <w:rFonts w:ascii="Times New Roman" w:hAnsi="Times New Roman" w:cs="Times New Roman"/>
          <w:color w:val="auto"/>
          <w:lang w:val="sq-AL"/>
        </w:rPr>
      </w:pPr>
      <w:r w:rsidRPr="003E239D">
        <w:rPr>
          <w:rFonts w:ascii="Times New Roman" w:hAnsi="Times New Roman" w:cs="Times New Roman"/>
          <w:color w:val="auto"/>
          <w:lang w:val="sq-AL"/>
        </w:rPr>
        <w:t>Mënyra e thirrjes së mbledhjeve, rendi i ditës, pjesëmarrja, shumica për marrjen e vendimeve dhe çështjet e tjera të lidhura me to, parashikohen në rregulloren e brendshme të BAUPT.</w:t>
      </w:r>
    </w:p>
    <w:p w:rsidR="001E55BC" w:rsidRPr="003E239D" w:rsidRDefault="001E55BC" w:rsidP="001E55BC">
      <w:pPr>
        <w:spacing w:after="80" w:line="240" w:lineRule="auto"/>
        <w:jc w:val="both"/>
        <w:rPr>
          <w:rFonts w:ascii="Times New Roman" w:hAnsi="Times New Roman"/>
          <w:b/>
          <w:bCs/>
          <w:sz w:val="24"/>
          <w:szCs w:val="24"/>
        </w:rPr>
      </w:pPr>
      <w:r w:rsidRPr="003E239D">
        <w:rPr>
          <w:rFonts w:ascii="Times New Roman" w:hAnsi="Times New Roman"/>
          <w:sz w:val="24"/>
          <w:szCs w:val="24"/>
        </w:rPr>
        <w:t>Bordi i Administrimit (BAUPT) është organi më i lartë kolegjial administrativ i UPT, i cili garanton përmbushjen e misionit të UPT, mbarëvajtjen financiare dhe administrative të tij.</w:t>
      </w:r>
    </w:p>
    <w:p w:rsidR="001E55BC" w:rsidRPr="003E239D" w:rsidRDefault="001E55BC" w:rsidP="001E55BC">
      <w:pPr>
        <w:pStyle w:val="Default"/>
        <w:spacing w:after="80"/>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BAUPT ka këto funksione kryesore: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t xml:space="preserve">garanton qëndrueshmërinë financiare të UPT dhe përmbushjen e misionit të tij;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t xml:space="preserve">vlerëson paraprakisht mbylljen dhe riorganizimin e UPT, si dhe ndarjen ose bashkimin e UPT me një institucion tjetër të arsimit të lartë;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t xml:space="preserve">miraton paraprakisht hapjen, riorganizimin ose mbylljen e njësive përbërëse të UPT;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t xml:space="preserve">jep mendim për projekt-rregulloren e UPT dhe miraton rregulloren financiare të tij;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lastRenderedPageBreak/>
        <w:t xml:space="preserve">përcakton rregullat për shpërndarjen e të ardhurave që siguron UPT  nga ushtrimi i veprimtarive të tij, si dhe mbikëqyr përdorimin e burimeve të financimit;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t xml:space="preserve">është përgjegjës për caktimin e kritereve e të procedurave për punësimin e administratorëve dhe personelit administrativ, mbështetur në aktet e institucionit të arsimit të lartë;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t xml:space="preserve">emëron dhe shkarkon administratorin e institucionit; </w:t>
      </w:r>
    </w:p>
    <w:p w:rsidR="001E55BC" w:rsidRPr="003E239D" w:rsidRDefault="001E55BC" w:rsidP="001E55BC">
      <w:pPr>
        <w:numPr>
          <w:ilvl w:val="0"/>
          <w:numId w:val="4"/>
        </w:numPr>
        <w:spacing w:after="80" w:line="240" w:lineRule="auto"/>
        <w:ind w:left="1560" w:hanging="426"/>
        <w:jc w:val="both"/>
        <w:rPr>
          <w:rFonts w:ascii="Times New Roman" w:hAnsi="Times New Roman"/>
          <w:sz w:val="24"/>
          <w:szCs w:val="24"/>
        </w:rPr>
      </w:pPr>
      <w:r w:rsidRPr="003E239D">
        <w:rPr>
          <w:rFonts w:ascii="Times New Roman" w:hAnsi="Times New Roman"/>
          <w:sz w:val="24"/>
          <w:szCs w:val="24"/>
        </w:rPr>
        <w:t xml:space="preserve">miraton paraprakisht statutin e UPT, para se t’i përcillet SAUPT. Ky vendim i BAUPT, merret me jo më pak se tre të pestën (3/5) e votave të anëtarëve të tij; </w:t>
      </w:r>
    </w:p>
    <w:p w:rsidR="001E55BC" w:rsidRDefault="001E55BC" w:rsidP="001E55BC">
      <w:pPr>
        <w:rPr>
          <w:rFonts w:ascii="Times New Roman" w:hAnsi="Times New Roman"/>
          <w:sz w:val="24"/>
          <w:szCs w:val="24"/>
        </w:rPr>
      </w:pPr>
    </w:p>
    <w:p w:rsidR="001E55BC" w:rsidRPr="0038279A" w:rsidRDefault="0038279A" w:rsidP="001E55BC">
      <w:pPr>
        <w:rPr>
          <w:rFonts w:ascii="Times New Roman" w:hAnsi="Times New Roman"/>
          <w:b/>
          <w:sz w:val="28"/>
          <w:szCs w:val="28"/>
        </w:rPr>
      </w:pPr>
      <w:r w:rsidRPr="0038279A">
        <w:rPr>
          <w:rFonts w:ascii="Times New Roman" w:hAnsi="Times New Roman"/>
          <w:b/>
          <w:sz w:val="28"/>
          <w:szCs w:val="28"/>
        </w:rPr>
        <w:t xml:space="preserve">3. </w:t>
      </w:r>
      <w:r w:rsidR="001E55BC" w:rsidRPr="0038279A">
        <w:rPr>
          <w:rFonts w:ascii="Times New Roman" w:hAnsi="Times New Roman"/>
          <w:b/>
          <w:sz w:val="28"/>
          <w:szCs w:val="28"/>
        </w:rPr>
        <w:t>KESHILLI I ETIKES</w:t>
      </w:r>
    </w:p>
    <w:p w:rsidR="001E55BC" w:rsidRPr="001E55BC" w:rsidRDefault="001E55BC" w:rsidP="001E55BC">
      <w:pPr>
        <w:rPr>
          <w:rFonts w:ascii="Times New Roman" w:hAnsi="Times New Roman"/>
          <w:b/>
          <w:sz w:val="24"/>
          <w:szCs w:val="24"/>
        </w:rPr>
      </w:pPr>
    </w:p>
    <w:p w:rsidR="001E55BC" w:rsidRPr="003E239D" w:rsidRDefault="001E55BC" w:rsidP="001E55BC">
      <w:pPr>
        <w:numPr>
          <w:ilvl w:val="0"/>
          <w:numId w:val="6"/>
        </w:numPr>
        <w:spacing w:after="80" w:line="240" w:lineRule="auto"/>
        <w:ind w:left="425" w:hanging="425"/>
        <w:jc w:val="both"/>
        <w:rPr>
          <w:rFonts w:ascii="Times New Roman" w:hAnsi="Times New Roman"/>
          <w:b/>
          <w:bCs/>
          <w:sz w:val="24"/>
          <w:szCs w:val="24"/>
        </w:rPr>
      </w:pPr>
      <w:r w:rsidRPr="003E239D">
        <w:rPr>
          <w:rFonts w:ascii="Times New Roman" w:hAnsi="Times New Roman"/>
          <w:sz w:val="24"/>
          <w:szCs w:val="24"/>
        </w:rPr>
        <w:t>Këshilli i Etikës ngrihet pranë UPT dhe promovon e shqyrton çështje, që lidhen me etikën në veprimtarinë e procesit mësimor dhe atij kërkimor, si dhe në veprimtaritë e tjera sipas parashikimeve të kodit të etikës dhe legjislacionit në fuqi, për të gjithë personelin e UPT.</w:t>
      </w:r>
    </w:p>
    <w:p w:rsidR="001E55BC" w:rsidRPr="003E239D" w:rsidRDefault="001E55BC" w:rsidP="001E55BC">
      <w:pPr>
        <w:pStyle w:val="Default"/>
        <w:numPr>
          <w:ilvl w:val="0"/>
          <w:numId w:val="6"/>
        </w:numPr>
        <w:spacing w:after="80"/>
        <w:ind w:left="425"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Këshilli i Etikës i UPT përbëhet nga një përfaqësues për çdo njësi kryesore të tij, një përfaqësues nga personeli administrativ, një nga personeli ndihmës-akademik dhe një përfaqësues i studentëve në SAUPT. Kur numri i anëtarëve të Këshillit të Etikës është çift, atëherë atij i shtohet një anëtar i propozuar nga SAUPT. </w:t>
      </w:r>
      <w:r>
        <w:rPr>
          <w:rFonts w:ascii="Times New Roman" w:hAnsi="Times New Roman" w:cs="Times New Roman"/>
          <w:color w:val="auto"/>
          <w:lang w:val="sq-AL"/>
        </w:rPr>
        <w:t>Gjithsej 11 anëtarë.</w:t>
      </w:r>
    </w:p>
    <w:p w:rsidR="001E55BC" w:rsidRPr="003E239D" w:rsidRDefault="001E55BC" w:rsidP="001E55BC">
      <w:pPr>
        <w:pStyle w:val="Default"/>
        <w:numPr>
          <w:ilvl w:val="0"/>
          <w:numId w:val="6"/>
        </w:numPr>
        <w:spacing w:after="80"/>
        <w:ind w:left="425"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Anëtarët e Këshillit të Etikës përzgjidhen nga SAUPT, mbi bazën e propozimeve të bëra nga njësitë kryesore, Administratori për anëtarët e stafit të personelit administrativ, Rektori për personelin ndihmës-akademik dhe komuniteti i studentëve të UPT. </w:t>
      </w:r>
    </w:p>
    <w:p w:rsidR="001E55BC" w:rsidRPr="003E239D" w:rsidRDefault="001E55BC" w:rsidP="001E55BC">
      <w:pPr>
        <w:pStyle w:val="Default"/>
        <w:numPr>
          <w:ilvl w:val="0"/>
          <w:numId w:val="6"/>
        </w:numPr>
        <w:spacing w:after="80"/>
        <w:ind w:left="425"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Të gjithë anëtarët e Këshillit të të UPT duhet të kenë një përvojë pune në njësinë kryesore përkatëse prej të paktën 5 vitesh. </w:t>
      </w:r>
    </w:p>
    <w:p w:rsidR="001E55BC" w:rsidRPr="003E239D" w:rsidRDefault="001E55BC" w:rsidP="001E55BC">
      <w:pPr>
        <w:pStyle w:val="Default"/>
        <w:numPr>
          <w:ilvl w:val="0"/>
          <w:numId w:val="6"/>
        </w:numPr>
        <w:spacing w:after="80"/>
        <w:ind w:left="425" w:hanging="425"/>
        <w:jc w:val="both"/>
        <w:rPr>
          <w:rFonts w:ascii="Times New Roman" w:hAnsi="Times New Roman" w:cs="Times New Roman"/>
          <w:color w:val="auto"/>
          <w:lang w:val="sq-AL"/>
        </w:rPr>
      </w:pPr>
      <w:r w:rsidRPr="003E239D">
        <w:rPr>
          <w:rFonts w:ascii="Times New Roman" w:hAnsi="Times New Roman" w:cs="Times New Roman"/>
          <w:color w:val="auto"/>
          <w:lang w:val="sq-AL"/>
        </w:rPr>
        <w:t>Anëtarët e Këshillit të Etikës kanë mandat 4 vjeçar me të drejtë rizgjedhjeje.</w:t>
      </w:r>
    </w:p>
    <w:p w:rsidR="001E55BC" w:rsidRPr="0038279A" w:rsidRDefault="001E55BC" w:rsidP="001E55BC">
      <w:pPr>
        <w:rPr>
          <w:rFonts w:ascii="Times New Roman" w:hAnsi="Times New Roman"/>
          <w:b/>
          <w:sz w:val="28"/>
          <w:szCs w:val="28"/>
        </w:rPr>
      </w:pPr>
    </w:p>
    <w:p w:rsidR="0038279A" w:rsidRPr="0038279A" w:rsidRDefault="0038279A" w:rsidP="001E55BC">
      <w:pPr>
        <w:rPr>
          <w:rFonts w:ascii="Times New Roman" w:hAnsi="Times New Roman"/>
          <w:b/>
          <w:sz w:val="28"/>
          <w:szCs w:val="28"/>
        </w:rPr>
      </w:pPr>
      <w:r w:rsidRPr="0038279A">
        <w:rPr>
          <w:rFonts w:ascii="Times New Roman" w:hAnsi="Times New Roman"/>
          <w:b/>
          <w:sz w:val="28"/>
          <w:szCs w:val="28"/>
        </w:rPr>
        <w:t>4. ASAMBLEJA E PERSONELITAKADEMIK</w:t>
      </w:r>
    </w:p>
    <w:p w:rsidR="0038279A" w:rsidRDefault="0038279A" w:rsidP="001E55BC">
      <w:pPr>
        <w:rPr>
          <w:rFonts w:ascii="Times New Roman" w:hAnsi="Times New Roman"/>
          <w:b/>
        </w:rPr>
      </w:pPr>
    </w:p>
    <w:p w:rsidR="0038279A" w:rsidRPr="003E239D" w:rsidRDefault="0038279A" w:rsidP="0038279A">
      <w:pPr>
        <w:pStyle w:val="Default"/>
        <w:numPr>
          <w:ilvl w:val="0"/>
          <w:numId w:val="7"/>
        </w:numPr>
        <w:spacing w:after="80"/>
        <w:ind w:left="425" w:hanging="425"/>
        <w:jc w:val="both"/>
        <w:rPr>
          <w:rFonts w:ascii="Times New Roman" w:hAnsi="Times New Roman" w:cs="Times New Roman"/>
          <w:b/>
          <w:color w:val="auto"/>
          <w:lang w:val="sq-AL"/>
        </w:rPr>
      </w:pPr>
      <w:r w:rsidRPr="003E239D">
        <w:rPr>
          <w:rFonts w:ascii="Times New Roman" w:hAnsi="Times New Roman" w:cs="Times New Roman"/>
          <w:color w:val="auto"/>
          <w:lang w:val="sq-AL"/>
        </w:rPr>
        <w:t xml:space="preserve">Asambleja e personelit akademik përbëhet nga personeli akademik me kohë të plotë i njësive kryesore. </w:t>
      </w:r>
    </w:p>
    <w:p w:rsidR="0038279A" w:rsidRPr="003E239D" w:rsidRDefault="0038279A" w:rsidP="0038279A">
      <w:pPr>
        <w:pStyle w:val="Default"/>
        <w:numPr>
          <w:ilvl w:val="0"/>
          <w:numId w:val="7"/>
        </w:numPr>
        <w:spacing w:after="80"/>
        <w:ind w:left="425" w:hanging="425"/>
        <w:jc w:val="both"/>
        <w:rPr>
          <w:rFonts w:ascii="Times New Roman" w:hAnsi="Times New Roman" w:cs="Times New Roman"/>
          <w:b/>
          <w:color w:val="auto"/>
          <w:lang w:val="sq-AL"/>
        </w:rPr>
      </w:pPr>
      <w:r w:rsidRPr="003E239D">
        <w:rPr>
          <w:rFonts w:ascii="Times New Roman" w:hAnsi="Times New Roman" w:cs="Times New Roman"/>
          <w:color w:val="auto"/>
          <w:lang w:val="sq-AL"/>
        </w:rPr>
        <w:t xml:space="preserve">Asambleja e personelit akademik të njësive kryesore në UPT ka këto funksione: </w:t>
      </w:r>
    </w:p>
    <w:p w:rsidR="0038279A" w:rsidRPr="003E239D" w:rsidRDefault="0038279A" w:rsidP="0038279A">
      <w:pPr>
        <w:pStyle w:val="Default"/>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a) zgjedh Rektorin e UPT; </w:t>
      </w:r>
    </w:p>
    <w:p w:rsidR="0038279A" w:rsidRPr="003E239D" w:rsidRDefault="0038279A" w:rsidP="0038279A">
      <w:pPr>
        <w:pStyle w:val="Default"/>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b) zgjedh anëtarët e SAUPT; </w:t>
      </w:r>
    </w:p>
    <w:p w:rsidR="0038279A" w:rsidRPr="003E239D" w:rsidRDefault="0038279A" w:rsidP="0038279A">
      <w:pPr>
        <w:pStyle w:val="Default"/>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 xml:space="preserve">c) zgjedh drejtuesin e njësisë kryesore të UPT; </w:t>
      </w:r>
    </w:p>
    <w:p w:rsidR="0038279A" w:rsidRDefault="0038279A" w:rsidP="0038279A">
      <w:pPr>
        <w:pStyle w:val="Default"/>
        <w:spacing w:after="80"/>
        <w:ind w:left="1559" w:hanging="425"/>
        <w:jc w:val="both"/>
        <w:rPr>
          <w:rFonts w:ascii="Times New Roman" w:hAnsi="Times New Roman" w:cs="Times New Roman"/>
          <w:color w:val="auto"/>
          <w:lang w:val="sq-AL"/>
        </w:rPr>
      </w:pPr>
      <w:r w:rsidRPr="003E239D">
        <w:rPr>
          <w:rFonts w:ascii="Times New Roman" w:hAnsi="Times New Roman" w:cs="Times New Roman"/>
          <w:color w:val="auto"/>
          <w:lang w:val="sq-AL"/>
        </w:rPr>
        <w:t>ç) konstituon komisione të përhershme të njësisë kryesore dhe zgjedh anëtarët e tyre;</w:t>
      </w:r>
    </w:p>
    <w:p w:rsidR="00104FF4" w:rsidRDefault="00104FF4" w:rsidP="00104FF4">
      <w:pPr>
        <w:pStyle w:val="Default"/>
        <w:spacing w:after="80"/>
        <w:jc w:val="both"/>
        <w:rPr>
          <w:rFonts w:ascii="Times New Roman" w:hAnsi="Times New Roman" w:cs="Times New Roman"/>
          <w:color w:val="auto"/>
          <w:lang w:val="sq-AL"/>
        </w:rPr>
      </w:pPr>
    </w:p>
    <w:p w:rsidR="00104FF4" w:rsidRDefault="00104FF4" w:rsidP="00104FF4">
      <w:pPr>
        <w:pStyle w:val="Default"/>
        <w:spacing w:after="80"/>
        <w:jc w:val="both"/>
        <w:rPr>
          <w:rFonts w:ascii="Times New Roman" w:hAnsi="Times New Roman"/>
          <w:b/>
          <w:sz w:val="28"/>
          <w:szCs w:val="28"/>
          <w:lang w:val="sq-AL"/>
        </w:rPr>
      </w:pPr>
      <w:r w:rsidRPr="00104FF4">
        <w:rPr>
          <w:rFonts w:ascii="Times New Roman" w:hAnsi="Times New Roman" w:cs="Times New Roman"/>
          <w:b/>
          <w:color w:val="auto"/>
          <w:sz w:val="28"/>
          <w:szCs w:val="28"/>
          <w:lang w:val="sq-AL"/>
        </w:rPr>
        <w:t xml:space="preserve">5. </w:t>
      </w:r>
      <w:r w:rsidRPr="00104FF4">
        <w:rPr>
          <w:rFonts w:ascii="Times New Roman" w:hAnsi="Times New Roman"/>
          <w:b/>
          <w:sz w:val="28"/>
          <w:szCs w:val="28"/>
          <w:lang w:val="sq-AL"/>
        </w:rPr>
        <w:t>KOMISIONI I PËRHERSHËM I PROMOVIMIT TË TITUJVE AKADEMIKË</w:t>
      </w:r>
    </w:p>
    <w:p w:rsidR="00104FF4" w:rsidRPr="00104FF4" w:rsidRDefault="00104FF4" w:rsidP="00104FF4">
      <w:pPr>
        <w:pStyle w:val="Default"/>
        <w:spacing w:after="80"/>
        <w:jc w:val="both"/>
        <w:rPr>
          <w:rFonts w:ascii="Times New Roman" w:hAnsi="Times New Roman" w:cs="Times New Roman"/>
          <w:b/>
          <w:color w:val="auto"/>
          <w:sz w:val="28"/>
          <w:szCs w:val="28"/>
          <w:lang w:val="sq-AL"/>
        </w:rPr>
      </w:pPr>
    </w:p>
    <w:p w:rsidR="00104FF4" w:rsidRPr="003E239D" w:rsidRDefault="00104FF4" w:rsidP="00104FF4">
      <w:pPr>
        <w:numPr>
          <w:ilvl w:val="1"/>
          <w:numId w:val="14"/>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lastRenderedPageBreak/>
        <w:t>Komisioni i përhershëm i Promovimit të Titujve Akademikë (KPTA) në UPT ka në përbërjen e tij 9 (nëntë) anëtarë, ku çdo njësi kryesore të jetë e përfaqësuar.</w:t>
      </w:r>
    </w:p>
    <w:p w:rsidR="00104FF4" w:rsidRPr="003E239D" w:rsidRDefault="00104FF4" w:rsidP="00104FF4">
      <w:pPr>
        <w:numPr>
          <w:ilvl w:val="1"/>
          <w:numId w:val="14"/>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Anëtarët e KPTA në UPT vetëkandidohen dhe përzgjidhen nga SAUPT për një mandat dyvjeçar, me të drejtë rizgjedhjeje.</w:t>
      </w:r>
    </w:p>
    <w:p w:rsidR="00104FF4" w:rsidRPr="003E239D" w:rsidRDefault="00104FF4" w:rsidP="00104FF4">
      <w:pPr>
        <w:numPr>
          <w:ilvl w:val="1"/>
          <w:numId w:val="14"/>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Ata mbajnë titullin “Profesor”.</w:t>
      </w:r>
    </w:p>
    <w:p w:rsidR="00104FF4" w:rsidRPr="000C5A3D" w:rsidRDefault="00104FF4" w:rsidP="00104FF4">
      <w:pPr>
        <w:numPr>
          <w:ilvl w:val="1"/>
          <w:numId w:val="14"/>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Funksionimi i KPTA përcaktohet në rregulloren e UPT.</w:t>
      </w:r>
    </w:p>
    <w:p w:rsidR="00104FF4" w:rsidRDefault="00104FF4" w:rsidP="00104FF4">
      <w:pPr>
        <w:spacing w:after="80" w:line="240" w:lineRule="auto"/>
        <w:jc w:val="both"/>
        <w:rPr>
          <w:rFonts w:ascii="Times New Roman" w:hAnsi="Times New Roman"/>
          <w:sz w:val="24"/>
          <w:szCs w:val="24"/>
        </w:rPr>
      </w:pPr>
    </w:p>
    <w:p w:rsidR="00104FF4" w:rsidRDefault="00CF1931" w:rsidP="00104FF4">
      <w:pPr>
        <w:spacing w:after="80" w:line="240" w:lineRule="auto"/>
        <w:jc w:val="both"/>
        <w:rPr>
          <w:rFonts w:ascii="Times New Roman" w:hAnsi="Times New Roman"/>
          <w:b/>
          <w:sz w:val="28"/>
          <w:szCs w:val="28"/>
        </w:rPr>
      </w:pPr>
      <w:r w:rsidRPr="00104FF4">
        <w:rPr>
          <w:rFonts w:ascii="Times New Roman" w:hAnsi="Times New Roman"/>
          <w:b/>
          <w:sz w:val="28"/>
          <w:szCs w:val="28"/>
        </w:rPr>
        <w:t>6. KOMISIONI I PËRHERSHËM PËR DHËNIEN E GRADËS SHKENCORE “DOKTOR”</w:t>
      </w:r>
    </w:p>
    <w:p w:rsidR="00104FF4" w:rsidRPr="00104FF4" w:rsidRDefault="00104FF4" w:rsidP="00104FF4">
      <w:pPr>
        <w:spacing w:after="80" w:line="240" w:lineRule="auto"/>
        <w:jc w:val="both"/>
        <w:rPr>
          <w:rFonts w:ascii="Times New Roman" w:hAnsi="Times New Roman"/>
          <w:b/>
          <w:sz w:val="28"/>
          <w:szCs w:val="28"/>
        </w:rPr>
      </w:pPr>
    </w:p>
    <w:p w:rsidR="00104FF4" w:rsidRPr="003E239D" w:rsidRDefault="00104FF4" w:rsidP="00104FF4">
      <w:pPr>
        <w:numPr>
          <w:ilvl w:val="0"/>
          <w:numId w:val="15"/>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 xml:space="preserve">Komisioni i përhershëm për dhënien e gradës shkencore “Doktor” në UPT mban emërtimin “Këshilli i Profesorëve”. </w:t>
      </w:r>
    </w:p>
    <w:p w:rsidR="00104FF4" w:rsidRPr="003E239D" w:rsidRDefault="00104FF4" w:rsidP="00104FF4">
      <w:pPr>
        <w:numPr>
          <w:ilvl w:val="0"/>
          <w:numId w:val="15"/>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“Këshilli i Profesorëve” ngrihet mbi bazën e njësisë kryesore të UPT që ofron programe të ciklit të tretë.</w:t>
      </w:r>
    </w:p>
    <w:p w:rsidR="00104FF4" w:rsidRPr="003E239D" w:rsidRDefault="00104FF4" w:rsidP="00104FF4">
      <w:pPr>
        <w:numPr>
          <w:ilvl w:val="0"/>
          <w:numId w:val="15"/>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 xml:space="preserve">Numri i anëtarëve të “Këshillit të Profesorëve” në UPT është 5 ose 7 anëtarë. </w:t>
      </w:r>
    </w:p>
    <w:p w:rsidR="00104FF4" w:rsidRPr="003E239D" w:rsidRDefault="00104FF4" w:rsidP="00104FF4">
      <w:pPr>
        <w:numPr>
          <w:ilvl w:val="0"/>
          <w:numId w:val="15"/>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 xml:space="preserve">Anëtarët e “Këshillit të Profesorëve” në UPT janë personel akademik me kohë të plotë të kategorisë “Pofesor”. </w:t>
      </w:r>
    </w:p>
    <w:p w:rsidR="00104FF4" w:rsidRPr="003E239D" w:rsidRDefault="00104FF4" w:rsidP="00104FF4">
      <w:pPr>
        <w:numPr>
          <w:ilvl w:val="0"/>
          <w:numId w:val="15"/>
        </w:numPr>
        <w:spacing w:after="80" w:line="240" w:lineRule="auto"/>
        <w:ind w:left="425" w:hanging="425"/>
        <w:jc w:val="both"/>
        <w:rPr>
          <w:rFonts w:ascii="Times New Roman" w:hAnsi="Times New Roman"/>
          <w:sz w:val="24"/>
          <w:szCs w:val="24"/>
        </w:rPr>
      </w:pPr>
      <w:r w:rsidRPr="003E239D">
        <w:rPr>
          <w:rFonts w:ascii="Times New Roman" w:hAnsi="Times New Roman"/>
          <w:sz w:val="24"/>
          <w:szCs w:val="24"/>
        </w:rPr>
        <w:t>Anëtarët e “Këshillit të Profesorëve” në UPT vetëkandidohen dhe përzgjidhen nga asambleja e njësisë kryesore, ku ata ushtrojnë funksionet e tyre. Ata kanë mandat dyvjeçar, me të drejtë rizgjedhjeje.</w:t>
      </w:r>
    </w:p>
    <w:p w:rsidR="0038279A" w:rsidRPr="00EC2486" w:rsidRDefault="0038279A" w:rsidP="001E55BC">
      <w:pPr>
        <w:rPr>
          <w:rFonts w:ascii="Times New Roman" w:hAnsi="Times New Roman"/>
          <w:b/>
        </w:rPr>
      </w:pPr>
    </w:p>
    <w:sectPr w:rsidR="0038279A" w:rsidRPr="00EC2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B0"/>
    <w:multiLevelType w:val="hybridMultilevel"/>
    <w:tmpl w:val="470E4352"/>
    <w:lvl w:ilvl="0" w:tplc="E166C1CC">
      <w:start w:val="12"/>
      <w:numFmt w:val="decimal"/>
      <w:lvlText w:val="%1."/>
      <w:lvlJc w:val="left"/>
      <w:pPr>
        <w:ind w:left="108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B620C"/>
    <w:multiLevelType w:val="hybridMultilevel"/>
    <w:tmpl w:val="A8601782"/>
    <w:lvl w:ilvl="0" w:tplc="F4F03890">
      <w:start w:val="6"/>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
    <w:nsid w:val="0EC71E2F"/>
    <w:multiLevelType w:val="hybridMultilevel"/>
    <w:tmpl w:val="34889AC2"/>
    <w:lvl w:ilvl="0" w:tplc="5456CF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B7100"/>
    <w:multiLevelType w:val="hybridMultilevel"/>
    <w:tmpl w:val="2D801052"/>
    <w:lvl w:ilvl="0" w:tplc="4F54A8B2">
      <w:start w:val="1"/>
      <w:numFmt w:val="bullet"/>
      <w:lvlText w:val="-"/>
      <w:lvlJc w:val="left"/>
      <w:pPr>
        <w:ind w:left="1080" w:hanging="360"/>
      </w:pPr>
      <w:rPr>
        <w:rFonts w:ascii="Times New Roman" w:eastAsia="Times New Roman" w:hAnsi="Times New Roman" w:cs="Times New Roman"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214CEB"/>
    <w:multiLevelType w:val="hybridMultilevel"/>
    <w:tmpl w:val="043A8650"/>
    <w:lvl w:ilvl="0" w:tplc="6EFE9DC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D44F88"/>
    <w:multiLevelType w:val="hybridMultilevel"/>
    <w:tmpl w:val="9E663974"/>
    <w:lvl w:ilvl="0" w:tplc="0B4A783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F1B73"/>
    <w:multiLevelType w:val="hybridMultilevel"/>
    <w:tmpl w:val="7082CB6C"/>
    <w:lvl w:ilvl="0" w:tplc="5B74C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E42B13"/>
    <w:multiLevelType w:val="hybridMultilevel"/>
    <w:tmpl w:val="3EEC7952"/>
    <w:lvl w:ilvl="0" w:tplc="72FCB5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F5FFB"/>
    <w:multiLevelType w:val="hybridMultilevel"/>
    <w:tmpl w:val="F4921744"/>
    <w:lvl w:ilvl="0" w:tplc="C590A738">
      <w:start w:val="1"/>
      <w:numFmt w:val="low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BA6FA6"/>
    <w:multiLevelType w:val="hybridMultilevel"/>
    <w:tmpl w:val="0F3A995E"/>
    <w:lvl w:ilvl="0" w:tplc="C3B0EDCA">
      <w:start w:val="1"/>
      <w:numFmt w:val="decimal"/>
      <w:lvlText w:val="%1."/>
      <w:lvlJc w:val="left"/>
      <w:pPr>
        <w:ind w:left="720" w:hanging="360"/>
      </w:pPr>
      <w:rPr>
        <w:rFonts w:ascii="Calibri" w:hAnsi="Calibri"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41112"/>
    <w:multiLevelType w:val="hybridMultilevel"/>
    <w:tmpl w:val="3BEC4D9A"/>
    <w:lvl w:ilvl="0" w:tplc="808E7094">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F7893"/>
    <w:multiLevelType w:val="hybridMultilevel"/>
    <w:tmpl w:val="F92E151E"/>
    <w:lvl w:ilvl="0" w:tplc="F4F03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187B55"/>
    <w:multiLevelType w:val="hybridMultilevel"/>
    <w:tmpl w:val="3BBE4D9A"/>
    <w:lvl w:ilvl="0" w:tplc="703C0F10">
      <w:start w:val="1"/>
      <w:numFmt w:val="decimal"/>
      <w:lvlText w:val="%1."/>
      <w:lvlJc w:val="left"/>
      <w:pPr>
        <w:ind w:left="720" w:hanging="360"/>
      </w:pPr>
      <w:rPr>
        <w:rFonts w:hint="default"/>
        <w:b w:val="0"/>
        <w:i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F1B41"/>
    <w:multiLevelType w:val="hybridMultilevel"/>
    <w:tmpl w:val="04AC84D6"/>
    <w:lvl w:ilvl="0" w:tplc="04090017">
      <w:start w:val="1"/>
      <w:numFmt w:val="lowerLetter"/>
      <w:lvlText w:val="%1)"/>
      <w:lvlJc w:val="left"/>
      <w:pPr>
        <w:ind w:left="1080" w:hanging="360"/>
      </w:pPr>
      <w:rPr>
        <w:rFonts w:hint="default"/>
      </w:rPr>
    </w:lvl>
    <w:lvl w:ilvl="1" w:tplc="164CEA46">
      <w:start w:val="1"/>
      <w:numFmt w:val="decimal"/>
      <w:lvlText w:val="%2."/>
      <w:lvlJc w:val="left"/>
      <w:pPr>
        <w:ind w:left="1800" w:hanging="360"/>
      </w:pPr>
      <w:rPr>
        <w:rFonts w:ascii="Times New Roman" w:hAnsi="Times New Roman" w:cs="Times New Roman" w:hint="default"/>
        <w:b w:val="0"/>
        <w:i w:val="0"/>
        <w:color w:val="00000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A06B47"/>
    <w:multiLevelType w:val="hybridMultilevel"/>
    <w:tmpl w:val="93105DC6"/>
    <w:lvl w:ilvl="0" w:tplc="6A608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0"/>
  </w:num>
  <w:num w:numId="4">
    <w:abstractNumId w:val="11"/>
  </w:num>
  <w:num w:numId="5">
    <w:abstractNumId w:val="1"/>
  </w:num>
  <w:num w:numId="6">
    <w:abstractNumId w:val="5"/>
  </w:num>
  <w:num w:numId="7">
    <w:abstractNumId w:val="7"/>
  </w:num>
  <w:num w:numId="8">
    <w:abstractNumId w:val="12"/>
  </w:num>
  <w:num w:numId="9">
    <w:abstractNumId w:val="4"/>
  </w:num>
  <w:num w:numId="10">
    <w:abstractNumId w:val="8"/>
  </w:num>
  <w:num w:numId="11">
    <w:abstractNumId w:val="14"/>
  </w:num>
  <w:num w:numId="12">
    <w:abstractNumId w:val="6"/>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E1"/>
    <w:rsid w:val="00104FF4"/>
    <w:rsid w:val="0012656D"/>
    <w:rsid w:val="001E55BC"/>
    <w:rsid w:val="0038279A"/>
    <w:rsid w:val="00485FE5"/>
    <w:rsid w:val="005B2C36"/>
    <w:rsid w:val="005E4DE1"/>
    <w:rsid w:val="007957B4"/>
    <w:rsid w:val="007D0024"/>
    <w:rsid w:val="00A535DF"/>
    <w:rsid w:val="00A86F37"/>
    <w:rsid w:val="00CD24CF"/>
    <w:rsid w:val="00CF1931"/>
    <w:rsid w:val="00D152FC"/>
    <w:rsid w:val="00E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D976E-44EC-4C9E-8517-ED2DBC7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24"/>
    <w:pPr>
      <w:spacing w:after="160" w:line="259" w:lineRule="auto"/>
    </w:pPr>
    <w:rPr>
      <w:sz w:val="22"/>
      <w:szCs w:val="22"/>
      <w:lang w:val="sq-AL"/>
    </w:rPr>
  </w:style>
  <w:style w:type="paragraph" w:styleId="Heading2">
    <w:name w:val="heading 2"/>
    <w:basedOn w:val="Normal"/>
    <w:next w:val="Normal"/>
    <w:link w:val="Heading2Char"/>
    <w:qFormat/>
    <w:rsid w:val="007D0024"/>
    <w:pPr>
      <w:keepNext/>
      <w:spacing w:after="0" w:line="240" w:lineRule="auto"/>
      <w:outlineLvl w:val="1"/>
    </w:pPr>
    <w:rPr>
      <w:rFonts w:ascii="Book Antiqua" w:eastAsia="Times New Roman" w:hAnsi="Book Antiqua"/>
      <w:sz w:val="24"/>
      <w:szCs w:val="24"/>
      <w:lang w:val="en-GB"/>
    </w:rPr>
  </w:style>
  <w:style w:type="paragraph" w:styleId="Heading3">
    <w:name w:val="heading 3"/>
    <w:basedOn w:val="Normal"/>
    <w:next w:val="Normal"/>
    <w:link w:val="Heading3Char"/>
    <w:uiPriority w:val="9"/>
    <w:unhideWhenUsed/>
    <w:qFormat/>
    <w:rsid w:val="00104FF4"/>
    <w:pPr>
      <w:keepNext/>
      <w:keepLines/>
      <w:spacing w:before="600" w:after="40" w:line="240" w:lineRule="auto"/>
      <w:jc w:val="center"/>
      <w:outlineLvl w:val="2"/>
    </w:pPr>
    <w:rPr>
      <w:rFonts w:ascii="Century Gothic" w:eastAsiaTheme="majorEastAsia" w:hAnsi="Century Gothic" w:cstheme="majorBidi"/>
      <w:color w:val="0070C0"/>
      <w:sz w:val="28"/>
      <w:szCs w:val="24"/>
      <w:lang w:val="it-IT" w:eastAsia="it-IT"/>
    </w:rPr>
  </w:style>
  <w:style w:type="paragraph" w:styleId="Heading4">
    <w:name w:val="heading 4"/>
    <w:basedOn w:val="Normal"/>
    <w:next w:val="Normal"/>
    <w:link w:val="Heading4Char"/>
    <w:uiPriority w:val="9"/>
    <w:unhideWhenUsed/>
    <w:qFormat/>
    <w:rsid w:val="00104FF4"/>
    <w:pPr>
      <w:keepNext/>
      <w:keepLines/>
      <w:spacing w:before="40" w:after="240" w:line="240" w:lineRule="auto"/>
      <w:jc w:val="center"/>
      <w:outlineLvl w:val="3"/>
    </w:pPr>
    <w:rPr>
      <w:rFonts w:ascii="Times New Roman" w:eastAsiaTheme="majorEastAsia" w:hAnsi="Times New Roman" w:cstheme="majorBidi"/>
      <w:b/>
      <w:iCs/>
      <w:color w:val="0070C0"/>
      <w:sz w:val="2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0024"/>
    <w:rPr>
      <w:rFonts w:ascii="Book Antiqua" w:eastAsia="Times New Roman" w:hAnsi="Book Antiqua"/>
      <w:sz w:val="24"/>
      <w:szCs w:val="24"/>
    </w:rPr>
  </w:style>
  <w:style w:type="paragraph" w:styleId="NoSpacing">
    <w:name w:val="No Spacing"/>
    <w:uiPriority w:val="1"/>
    <w:qFormat/>
    <w:rsid w:val="007D0024"/>
    <w:rPr>
      <w:sz w:val="22"/>
      <w:szCs w:val="22"/>
      <w:lang w:val="sq-AL"/>
    </w:rPr>
  </w:style>
  <w:style w:type="paragraph" w:styleId="ListParagraph">
    <w:name w:val="List Paragraph"/>
    <w:basedOn w:val="Normal"/>
    <w:qFormat/>
    <w:rsid w:val="007D0024"/>
    <w:pPr>
      <w:spacing w:after="0" w:line="240" w:lineRule="auto"/>
      <w:ind w:left="720"/>
    </w:pPr>
    <w:rPr>
      <w:rFonts w:ascii="Times New Roman" w:eastAsia="Times New Roman" w:hAnsi="Times New Roman"/>
      <w:sz w:val="20"/>
      <w:szCs w:val="20"/>
      <w:lang w:val="en-US"/>
    </w:rPr>
  </w:style>
  <w:style w:type="paragraph" w:styleId="NormalWeb">
    <w:name w:val="Normal (Web)"/>
    <w:basedOn w:val="Normal"/>
    <w:uiPriority w:val="99"/>
    <w:semiHidden/>
    <w:unhideWhenUsed/>
    <w:rsid w:val="00CD24C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CD24CF"/>
    <w:rPr>
      <w:b/>
      <w:bCs/>
    </w:rPr>
  </w:style>
  <w:style w:type="paragraph" w:customStyle="1" w:styleId="Default">
    <w:name w:val="Default"/>
    <w:rsid w:val="001E55BC"/>
    <w:pPr>
      <w:widowControl w:val="0"/>
      <w:autoSpaceDE w:val="0"/>
      <w:autoSpaceDN w:val="0"/>
      <w:adjustRightInd w:val="0"/>
    </w:pPr>
    <w:rPr>
      <w:rFonts w:ascii="Garamond" w:eastAsia="Times New Roman" w:hAnsi="Garamond" w:cs="Garamond"/>
      <w:color w:val="000000"/>
      <w:sz w:val="24"/>
      <w:szCs w:val="24"/>
      <w:lang w:val="it-IT" w:eastAsia="it-IT"/>
    </w:rPr>
  </w:style>
  <w:style w:type="paragraph" w:customStyle="1" w:styleId="CM27">
    <w:name w:val="CM27"/>
    <w:basedOn w:val="Default"/>
    <w:next w:val="Default"/>
    <w:uiPriority w:val="99"/>
    <w:rsid w:val="0038279A"/>
    <w:pPr>
      <w:spacing w:line="323" w:lineRule="atLeast"/>
    </w:pPr>
    <w:rPr>
      <w:rFonts w:ascii="Palatino Linotype" w:hAnsi="Palatino Linotype" w:cs="Times New Roman"/>
      <w:color w:val="auto"/>
    </w:rPr>
  </w:style>
  <w:style w:type="paragraph" w:styleId="CommentText">
    <w:name w:val="annotation text"/>
    <w:basedOn w:val="Normal"/>
    <w:link w:val="CommentTextChar"/>
    <w:uiPriority w:val="99"/>
    <w:unhideWhenUsed/>
    <w:rsid w:val="0038279A"/>
    <w:pPr>
      <w:spacing w:line="240" w:lineRule="auto"/>
    </w:pPr>
    <w:rPr>
      <w:rFonts w:asciiTheme="minorHAnsi" w:eastAsiaTheme="minorEastAsia" w:hAnsiTheme="minorHAnsi" w:cstheme="minorBidi"/>
      <w:sz w:val="20"/>
      <w:szCs w:val="20"/>
      <w:lang w:val="en-GB" w:eastAsia="it-IT"/>
    </w:rPr>
  </w:style>
  <w:style w:type="character" w:customStyle="1" w:styleId="CommentTextChar">
    <w:name w:val="Comment Text Char"/>
    <w:basedOn w:val="DefaultParagraphFont"/>
    <w:link w:val="CommentText"/>
    <w:uiPriority w:val="99"/>
    <w:rsid w:val="0038279A"/>
    <w:rPr>
      <w:rFonts w:asciiTheme="minorHAnsi" w:eastAsiaTheme="minorEastAsia" w:hAnsiTheme="minorHAnsi" w:cstheme="minorBidi"/>
      <w:lang w:eastAsia="it-IT"/>
    </w:rPr>
  </w:style>
  <w:style w:type="character" w:customStyle="1" w:styleId="Heading3Char">
    <w:name w:val="Heading 3 Char"/>
    <w:basedOn w:val="DefaultParagraphFont"/>
    <w:link w:val="Heading3"/>
    <w:uiPriority w:val="9"/>
    <w:rsid w:val="00104FF4"/>
    <w:rPr>
      <w:rFonts w:ascii="Century Gothic" w:eastAsiaTheme="majorEastAsia" w:hAnsi="Century Gothic" w:cstheme="majorBidi"/>
      <w:color w:val="0070C0"/>
      <w:sz w:val="28"/>
      <w:szCs w:val="24"/>
      <w:lang w:val="it-IT" w:eastAsia="it-IT"/>
    </w:rPr>
  </w:style>
  <w:style w:type="character" w:customStyle="1" w:styleId="Heading4Char">
    <w:name w:val="Heading 4 Char"/>
    <w:basedOn w:val="DefaultParagraphFont"/>
    <w:link w:val="Heading4"/>
    <w:uiPriority w:val="9"/>
    <w:rsid w:val="00104FF4"/>
    <w:rPr>
      <w:rFonts w:ascii="Times New Roman" w:eastAsiaTheme="majorEastAsia" w:hAnsi="Times New Roman" w:cstheme="majorBidi"/>
      <w:b/>
      <w:iCs/>
      <w:color w:val="0070C0"/>
      <w:sz w:val="28"/>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2023-05-18T11:55:00Z</dcterms:created>
  <dcterms:modified xsi:type="dcterms:W3CDTF">2023-05-19T10:35:00Z</dcterms:modified>
</cp:coreProperties>
</file>